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A2" w:rsidRDefault="00E82BA2">
      <w:pPr>
        <w:pStyle w:val="ConsPlusNormal"/>
        <w:jc w:val="both"/>
        <w:outlineLvl w:val="0"/>
      </w:pPr>
    </w:p>
    <w:p w:rsidR="00E82BA2" w:rsidRDefault="00E82BA2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E82BA2" w:rsidRDefault="00E82BA2">
      <w:pPr>
        <w:pStyle w:val="ConsPlusTitle"/>
        <w:jc w:val="center"/>
      </w:pPr>
    </w:p>
    <w:p w:rsidR="00E82BA2" w:rsidRDefault="00E82BA2">
      <w:pPr>
        <w:pStyle w:val="ConsPlusTitle"/>
        <w:jc w:val="center"/>
      </w:pPr>
      <w:r>
        <w:t>ПОСТАНОВЛЕНИЕ</w:t>
      </w:r>
    </w:p>
    <w:p w:rsidR="00E82BA2" w:rsidRDefault="00E82BA2">
      <w:pPr>
        <w:pStyle w:val="ConsPlusTitle"/>
        <w:jc w:val="center"/>
      </w:pPr>
      <w:r>
        <w:t>от 14 ноября 2013 г. N 396</w:t>
      </w:r>
    </w:p>
    <w:p w:rsidR="00E82BA2" w:rsidRDefault="00E82BA2">
      <w:pPr>
        <w:pStyle w:val="ConsPlusTitle"/>
        <w:jc w:val="center"/>
      </w:pPr>
    </w:p>
    <w:p w:rsidR="00E82BA2" w:rsidRDefault="00E82BA2">
      <w:pPr>
        <w:pStyle w:val="ConsPlusTitle"/>
        <w:jc w:val="center"/>
      </w:pPr>
      <w:r>
        <w:t>О ГОСУДАРСТВЕННОЙ ПРОГРАММЕ ЛЕНИНГРАДСКОЙ ОБЛАСТИ</w:t>
      </w:r>
    </w:p>
    <w:p w:rsidR="00E82BA2" w:rsidRDefault="00E82BA2">
      <w:pPr>
        <w:pStyle w:val="ConsPlusTitle"/>
        <w:jc w:val="center"/>
      </w:pPr>
      <w:r>
        <w:t>"БЕЗОПАСНОСТЬ ЛЕНИНГРАДСКОЙ ОБЛАСТИ"</w:t>
      </w:r>
    </w:p>
    <w:p w:rsidR="00E82BA2" w:rsidRDefault="00E82BA2">
      <w:pPr>
        <w:pStyle w:val="ConsPlusNormal"/>
        <w:spacing w:after="1"/>
      </w:pPr>
    </w:p>
    <w:p w:rsidR="00E82BA2" w:rsidRDefault="00E82BA2">
      <w:pPr>
        <w:pStyle w:val="ConsPlusNormal"/>
        <w:jc w:val="both"/>
      </w:pPr>
      <w:bookmarkStart w:id="0" w:name="_GoBack"/>
      <w:bookmarkEnd w:id="0"/>
    </w:p>
    <w:p w:rsidR="00E82BA2" w:rsidRDefault="00E82BA2">
      <w:pPr>
        <w:pStyle w:val="ConsPlusNormal"/>
        <w:ind w:firstLine="540"/>
        <w:jc w:val="both"/>
      </w:pPr>
      <w:r>
        <w:t>В целях реализации государственной социально-экономической политики Ленинградской области в сфере обеспечения безопасности Правительство Ленинградской области постановляет:</w:t>
      </w:r>
    </w:p>
    <w:p w:rsidR="00E82BA2" w:rsidRDefault="00E82BA2">
      <w:pPr>
        <w:pStyle w:val="ConsPlusNormal"/>
        <w:jc w:val="both"/>
      </w:pPr>
    </w:p>
    <w:p w:rsidR="00E82BA2" w:rsidRDefault="00E82BA2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41">
        <w:r>
          <w:rPr>
            <w:color w:val="0000FF"/>
          </w:rPr>
          <w:t>программу</w:t>
        </w:r>
      </w:hyperlink>
      <w:r>
        <w:t xml:space="preserve"> Ленинградской области "Безопасность Ленинградской области".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Ленинградской области учитывать положения государственной </w:t>
      </w:r>
      <w:hyperlink w:anchor="P41">
        <w:r>
          <w:rPr>
            <w:color w:val="0000FF"/>
          </w:rPr>
          <w:t>программы</w:t>
        </w:r>
      </w:hyperlink>
      <w:r>
        <w:t xml:space="preserve"> Ленинградской области "Безопасность Ленинградской области" при принятии муниципальных программ, направленных на обеспечение безопасности.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вице-губернатора Ленинградской области - председателя комитета правопорядка и безопасности.</w:t>
      </w:r>
    </w:p>
    <w:p w:rsidR="00E82BA2" w:rsidRDefault="00E82BA2">
      <w:pPr>
        <w:pStyle w:val="ConsPlusNormal"/>
        <w:jc w:val="both"/>
      </w:pPr>
      <w:r>
        <w:t xml:space="preserve">(в ред. Постановлений Правительства Ленинградской области от 30.12.2020 </w:t>
      </w:r>
      <w:hyperlink r:id="rId5">
        <w:r>
          <w:rPr>
            <w:color w:val="0000FF"/>
          </w:rPr>
          <w:t>N 896</w:t>
        </w:r>
      </w:hyperlink>
      <w:r>
        <w:t xml:space="preserve">, от 21.12.2023 </w:t>
      </w:r>
      <w:hyperlink r:id="rId6">
        <w:r>
          <w:rPr>
            <w:color w:val="0000FF"/>
          </w:rPr>
          <w:t>N 944</w:t>
        </w:r>
      </w:hyperlink>
      <w:r>
        <w:t>)</w:t>
      </w:r>
    </w:p>
    <w:p w:rsidR="00E82BA2" w:rsidRDefault="00E82BA2">
      <w:pPr>
        <w:pStyle w:val="ConsPlusNormal"/>
        <w:jc w:val="both"/>
      </w:pPr>
    </w:p>
    <w:p w:rsidR="00E82BA2" w:rsidRDefault="00E82BA2">
      <w:pPr>
        <w:pStyle w:val="ConsPlusNormal"/>
        <w:jc w:val="right"/>
      </w:pPr>
      <w:r>
        <w:t>Губернатор</w:t>
      </w:r>
    </w:p>
    <w:p w:rsidR="00E82BA2" w:rsidRDefault="00E82BA2">
      <w:pPr>
        <w:pStyle w:val="ConsPlusNormal"/>
        <w:jc w:val="right"/>
      </w:pPr>
      <w:r>
        <w:t>Ленинградской области</w:t>
      </w:r>
    </w:p>
    <w:p w:rsidR="00E82BA2" w:rsidRDefault="00E82BA2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E82BA2" w:rsidRDefault="00E82BA2">
      <w:pPr>
        <w:pStyle w:val="ConsPlusNormal"/>
        <w:jc w:val="both"/>
      </w:pPr>
    </w:p>
    <w:p w:rsidR="00E82BA2" w:rsidRDefault="00E82BA2">
      <w:pPr>
        <w:pStyle w:val="ConsPlusNormal"/>
        <w:jc w:val="both"/>
      </w:pPr>
    </w:p>
    <w:p w:rsidR="00E82BA2" w:rsidRDefault="00E82BA2">
      <w:pPr>
        <w:pStyle w:val="ConsPlusNormal"/>
        <w:jc w:val="right"/>
        <w:outlineLvl w:val="0"/>
      </w:pPr>
      <w:r>
        <w:t>ЕРЖДЕНА</w:t>
      </w:r>
    </w:p>
    <w:p w:rsidR="00E82BA2" w:rsidRDefault="00E82BA2">
      <w:pPr>
        <w:pStyle w:val="ConsPlusNormal"/>
        <w:jc w:val="right"/>
      </w:pPr>
      <w:r>
        <w:t>постановлением Правительства</w:t>
      </w:r>
    </w:p>
    <w:p w:rsidR="00E82BA2" w:rsidRDefault="00E82BA2">
      <w:pPr>
        <w:pStyle w:val="ConsPlusNormal"/>
        <w:jc w:val="right"/>
      </w:pPr>
      <w:r>
        <w:t>Ленинградской области</w:t>
      </w:r>
    </w:p>
    <w:p w:rsidR="00E82BA2" w:rsidRDefault="00E82BA2">
      <w:pPr>
        <w:pStyle w:val="ConsPlusNormal"/>
        <w:jc w:val="right"/>
      </w:pPr>
      <w:r>
        <w:t>от 14.11.2013 N 396</w:t>
      </w:r>
    </w:p>
    <w:p w:rsidR="00E82BA2" w:rsidRDefault="00E82BA2">
      <w:pPr>
        <w:pStyle w:val="ConsPlusNormal"/>
        <w:jc w:val="right"/>
      </w:pPr>
      <w:r>
        <w:t>(приложение)</w:t>
      </w:r>
    </w:p>
    <w:p w:rsidR="00E82BA2" w:rsidRDefault="00E82BA2">
      <w:pPr>
        <w:pStyle w:val="ConsPlusNormal"/>
        <w:jc w:val="both"/>
      </w:pPr>
    </w:p>
    <w:p w:rsidR="00E82BA2" w:rsidRDefault="00E82BA2">
      <w:pPr>
        <w:pStyle w:val="ConsPlusTitle"/>
        <w:jc w:val="center"/>
      </w:pPr>
      <w:bookmarkStart w:id="1" w:name="P41"/>
      <w:bookmarkEnd w:id="1"/>
      <w:r>
        <w:t>ГОСУДАРСТВЕННАЯ ПРОГРАММА</w:t>
      </w:r>
    </w:p>
    <w:p w:rsidR="00E82BA2" w:rsidRDefault="00E82BA2">
      <w:pPr>
        <w:pStyle w:val="ConsPlusTitle"/>
        <w:jc w:val="center"/>
      </w:pPr>
      <w:r>
        <w:t>ЛЕНИНГРАДСКОЙ ОБЛАСТИ "БЕЗОПАСНОСТЬ ЛЕНИНГРАДСКОЙ ОБЛАСТИ"</w:t>
      </w:r>
    </w:p>
    <w:p w:rsidR="00E82BA2" w:rsidRDefault="00E82BA2">
      <w:pPr>
        <w:pStyle w:val="ConsPlusNormal"/>
        <w:spacing w:after="1"/>
      </w:pPr>
    </w:p>
    <w:p w:rsidR="00E82BA2" w:rsidRDefault="00E82BA2">
      <w:pPr>
        <w:pStyle w:val="ConsPlusTitle"/>
        <w:jc w:val="center"/>
        <w:outlineLvl w:val="1"/>
      </w:pPr>
      <w:r>
        <w:t>1. Оценка текущего состояния сферы реализации</w:t>
      </w:r>
    </w:p>
    <w:p w:rsidR="00E82BA2" w:rsidRDefault="00E82BA2">
      <w:pPr>
        <w:pStyle w:val="ConsPlusTitle"/>
        <w:jc w:val="center"/>
      </w:pPr>
      <w:r>
        <w:t>государственной программы Ленинградской области</w:t>
      </w:r>
    </w:p>
    <w:p w:rsidR="00E82BA2" w:rsidRDefault="00E82BA2">
      <w:pPr>
        <w:pStyle w:val="ConsPlusTitle"/>
        <w:jc w:val="center"/>
      </w:pPr>
      <w:r>
        <w:t>"Безопасность Ленинградской области"</w:t>
      </w:r>
    </w:p>
    <w:p w:rsidR="00E82BA2" w:rsidRDefault="00E82BA2">
      <w:pPr>
        <w:pStyle w:val="ConsPlusNormal"/>
        <w:ind w:firstLine="540"/>
        <w:jc w:val="both"/>
      </w:pPr>
    </w:p>
    <w:p w:rsidR="00E82BA2" w:rsidRDefault="00E82BA2">
      <w:pPr>
        <w:pStyle w:val="ConsPlusNormal"/>
        <w:ind w:firstLine="540"/>
        <w:jc w:val="both"/>
      </w:pPr>
      <w:r>
        <w:t>Ленинградская область является одним из самых динамично развивающихся субъектов Российской Федерации. Обеспечение безопасности Ленинградской области является необходимым условием обеспечения жизнедеятельности населения региона, соблюдения законных прав и свобод граждан, эффективного функционирования системы управления, экономики, городского хозяйства, транспорта и связи, сохранения на необходимом уровне параметров среды обитания, развития социальной и духовной сфер общества.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Проблемы обеспечения правопорядка и безопасности носят межведомственный характер, требующий при реализации конкретных мероприятий участия органов исполнительной власти.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Криминогенная обстановка в Ленинградской области в целом характеризуется как </w:t>
      </w:r>
      <w:r>
        <w:lastRenderedPageBreak/>
        <w:t>контролируемая, однако после длительного (в течение 10 лет) спада последние шесть лет наблюдается рост преступности. За период с 2016 года в Ленинградской области общее число зарегистрированных преступлений возросло на 62 проц. - с 17,5 тысяч до 28,5 тысяч.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За 2022 год в регионе зарегистрировано 28569 преступлений, что на 5,5 проц. больше, чем в 2021 году. Около трети из них (27,7 проц.) относится к категории тяжких и особо тяжких, при этом количество преступлений этой категории сократилось на 6,7 проц. по сравнению с 2021 годом.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По итогам 2022 года в общественных местах совершено 7870 преступлений, что на 6,8 проц. больше, чем в 2021 году. При этом количество преступлений, совершенных на улицах, имеет незначительную тенденцию к снижению (4259; -1 проц.).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В 2022 году при общем снижении числа преступлений против личности значительно возросло количество преступлений против собственности (280; +69,7 проц.), а также фактов мошенничества в сфере кредитования (39; +56,0 проц.).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Создание эффективной системы общественной безопасности и правопорядка на территории Ленинградской области осуществляется путем обеспечения основных сфер безопасности: уровня личной безопасности граждан за счет повышения уличной безопасности, внедрения новейших технологий в сфере безопасности, создания общественных объединений в сфере поддержания правопорядка.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Актуальной задачей является создание в Ленинградской области необходимых условий для повышения оперативности и качества оказания экстренной помощи населению, предупреждения чрезвычайных ситуаций природного и техногенного характера путем координации совместных усилий и финансовых средств, обеспечив переход на единый номер вызова экстренных оперативных служб. В сложившейся ситуации решение указанной проблемы в приемлемые сроки возможно лишь с использованием программно-целевого метода. Работы по созданию и развертыванию системы обеспечения вызова экстренных оперативных служб по единому номеру "112" (далее - Система-112) носят комплексный межведомственный характер.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Степень обеспечения функционирования системы вызова экстренных оперативных служб по единому номеру "112" на территории Ленинградской области по итогу 2022 года - 100 процентов.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В настоящий момент на территории Ленинградской области подсистема мониторинга "Системы-112 Ленинградской области" признана "Озером данных" регионального уровня в рамках единой государственной системы предупреждения и ликвидации чрезвычайных ситуаций (далее - РСЧС), направленного на повышение эффективности управления силами и средствами РСЧС при предупреждении и ликвидации чрезвычайных ситуаций в территориальных подсистемах РСЧС.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Одним из направлений реализации государственной программы Ленинградской области "Безопасность Ленинградской области" (далее - государственная программа) является повышение эффективности системы защиты граждан от чрезвычайных ситуаций природного и техногенного характера.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В настоящее время обеспеченность населения средствами индивидуальной защиты, осуществляемая органами исполнительной власти Ленинградской области, составляет 32,4 проц. от общей потребности.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Состояние объектов хранения имущества гражданской обороны оценивается удовлетворительно, за исключением вспомогательных зданий и сооружений, обеспечивающих качественные технические характеристики работоспособности хранилищ складских комплексов (дизельные, насосные, проходные, крытые пожарные водоемы и т.д.).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Государственной программой предусмотрено приобретение недостающего и требующего </w:t>
      </w:r>
      <w:r>
        <w:lastRenderedPageBreak/>
        <w:t>замены имущества гражданской обороны. Непринятие мер по накоплению такого имущества повлечет за собой резкое снижение уровня защиты населения в особый период, а также при возникновении крупных техногенных аварий и катастроф.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Создание, хранение и восполнение резерва материальных ресурсов для ликвидации чрезвычайных ситуаций регионального и межмуниципального характера на территории Ленинградской области составляет 93 проц. от планируемого объема.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В настоящее время на территории Ленинградской области созданы и действуют региональная автоматизированная система централизованного оповещения, интегрированная с комплексной системой экстренного оповещения населения об угрозе возникновения или возникновении чрезвычайных ситуаций, основными задачами которых являются доведение информации и сигналов оповещения до руководящего состава гражданской обороны и территориальной подсистемы РСЧС Ленинградской области, органов, специально уполномоченных на решение задач в области защиты населения и территорий от чрезвычайных ситуаций при органах местного самоуправления, единых дежурно-диспетчерских служб муниципальных образований, специально подготовленных сил РСЧС, предназначенных для предупреждения и ликвидации чрезвычайных ситуаций, и сил гражданской обороны на территории Ленинградской области, дежурно-диспетчерских служб организаций, эксплуатирующих потенциально опасные объекты, населения, проживающего на территории Ленинградской области.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В результате выполнения мероприятий государственной программы охват территории Ленинградской области централизованным оповещением по итогам 2022 года достиг 69,8 проц. к общему количеству населения, проживающего на территориях, указанных в Перечне территорий Ленинградской области, на которых необходимо создать комплексную систему экстренного оповещения населения об угрозе возникновения или о возникновении чрезвычайных ситуаций, утвержденном распоряжением Правительства Ленинградской области от 17 января 2014 года N 36-р.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Обеспечение необходимого уровня пожарной безопасности и минимизация потерь вследствие пожаров - важнейшие факторы устойчивого социально-экономического развития Ленинградской области.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Анализ состояния дислокации сил и средств территориального и местных гарнизонов пожарной охраны Ленинградской области, а также результаты изучения сведений о численности населения и количестве населенных пунктов, находящихся в зоне и вне зоны нормативного времени прибытия первых подразделений государственной противопожарной службы, позволяет сделать вывод, что в настоящее время существующие силы и средства пожарной охраны Ленинградской области (федеральные, областные, муниципальные и др.) в полном объеме не могут обеспечить выполнение требований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 По итогам 2022 года в зоне нормативного времени прибытия первых пожарных подразделений находится только 80 проц. населенных пунктов. Для решения указанной проблемы необходимо строительство недостающих пожарных депо для размещения подразделений государственной противопожарной службы, создание в населенных пунктах Ленинградской области подразделений других видов пожарной охраны (добровольных пожарных подразделений, подразделений частной и ведомственной пожарной охраны).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Развитие добровольной пожарной охраны является одним из важных направлений совершенствования профилактики и борьбы с пожарами в общей системе обеспечения пожарной безопасности.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Проблемы обеспечения пожарной безопасности носят комплексный межведомственный и(или) взаимодополняющий характер, что при реализации конкретных мероприятий требует </w:t>
      </w:r>
      <w:r>
        <w:lastRenderedPageBreak/>
        <w:t>участия различных органов исполнительной власти Ленинградской области. В целом для преодоления существующих негативных тенденций в сфере пожарной безопасности необходимы целенаправленные скоординированные действия органов исполнительной власти, муниципальных образований, объединений, предприятий и организаций Ленинградской области.</w:t>
      </w:r>
    </w:p>
    <w:p w:rsidR="00E82BA2" w:rsidRDefault="00E82BA2">
      <w:pPr>
        <w:pStyle w:val="ConsPlusNormal"/>
        <w:ind w:firstLine="540"/>
        <w:jc w:val="both"/>
      </w:pPr>
    </w:p>
    <w:p w:rsidR="00E82BA2" w:rsidRDefault="00E82BA2">
      <w:pPr>
        <w:pStyle w:val="ConsPlusTitle"/>
        <w:jc w:val="center"/>
        <w:outlineLvl w:val="1"/>
      </w:pPr>
      <w:r>
        <w:t>2. Приоритеты и цели государственной политики в сфере</w:t>
      </w:r>
    </w:p>
    <w:p w:rsidR="00E82BA2" w:rsidRDefault="00E82BA2">
      <w:pPr>
        <w:pStyle w:val="ConsPlusTitle"/>
        <w:jc w:val="center"/>
      </w:pPr>
      <w:r>
        <w:t>реализации государственной программы</w:t>
      </w:r>
    </w:p>
    <w:p w:rsidR="00E82BA2" w:rsidRDefault="00E82BA2">
      <w:pPr>
        <w:pStyle w:val="ConsPlusNormal"/>
        <w:jc w:val="center"/>
      </w:pPr>
    </w:p>
    <w:p w:rsidR="00E82BA2" w:rsidRDefault="00E82BA2">
      <w:pPr>
        <w:pStyle w:val="ConsPlusNormal"/>
        <w:ind w:firstLine="540"/>
        <w:jc w:val="both"/>
      </w:pPr>
      <w:r>
        <w:t>Приоритеты и цели государственной политики в сфере реализации государственной программы определены следующими документами: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:rsidR="00E82BA2" w:rsidRDefault="00E82BA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31.10.2024 N 750)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 июля 2021 года N 400 "О Стратегии национальной безопасности Российской Федерации";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16 октября 2019 года N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года";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20 декабря 2016 года N 696 "Об утверждении Основ государственной политики Российской Федерации в области гражданской обороны на период до 2030 года";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11 января 2018 года N 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года";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13 ноября 2012 года N 1522 "О создании комплексной системы экстренного оповещения населения об угрозе возникновения или о возникновении чрезвычайных ситуаций";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1 января 2018 года N 2 "Об утверждении Основ государственной политики Российской Федерации в области пожарной безопасности на период до 2030 года";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Концепцией</w:t>
        </w:r>
      </w:hyperlink>
      <w:r>
        <w:t xml:space="preserve"> общественной безопасности в Российской Федерации (утверждена Президентом Российской Федерации 14 ноября 2013 года N Пр-2685);</w:t>
      </w:r>
    </w:p>
    <w:p w:rsidR="00E82BA2" w:rsidRDefault="00E82BA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 декабря 2014 года N 2446-р "Об утверждении Концепции построения и развития аппаратно-программного комплекса "Безопасный город".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Сфера общественной безопасности выполняет важную социальную функцию в реализации проектной инициативы "Комфортные поселения" </w:t>
      </w:r>
      <w:hyperlink r:id="rId18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Ленинградской области до 2030 года, утвержденной областным законом от 8 августа 2016 года N 76-оз, стратегической целью которой является снижение общего уровня преступности за счет эффективной системы общественной безопасности и правопорядка.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Обеспечение государственной и общественной безопасности определяется в качестве одного из стратегических национальных приоритетов.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Стратегическими целями государственной и общественной безопасности являются защита </w:t>
      </w:r>
      <w:r>
        <w:lastRenderedPageBreak/>
        <w:t>основных прав и свобод человека и гражданина, укрепление гражданского мира и согласия, политической и социальной стабильности в обществе, укрепление законности и правопорядка, защита граждан и всех форм собственности, традиционных российских духовно-нравственных ценностей от противоправных посягательств.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Приоритетными направлениями государственной политики в области гражданской обороны являются: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повышение качества подготовки населения в области гражданской обороны.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Целью государственной политики в области пожарной безопасности является обеспечение необходимого уровня защищенности личности, имущества, общества и государства от пожаров.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Приоритетными направлениями государственной политики в области пожарной безопасности являются: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обеспечение качественного повышения уровня защищенности населения и объектов защиты от пожаров;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обеспечение эффективного функционирования и развития пожарной охраны;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выработка и реализация государственной научно-технической политики в области пожарной безопасности.</w:t>
      </w:r>
    </w:p>
    <w:p w:rsidR="00E82BA2" w:rsidRDefault="00E82BA2">
      <w:pPr>
        <w:pStyle w:val="ConsPlusNormal"/>
        <w:jc w:val="center"/>
      </w:pPr>
    </w:p>
    <w:p w:rsidR="00E82BA2" w:rsidRDefault="00E82BA2">
      <w:pPr>
        <w:pStyle w:val="ConsPlusTitle"/>
        <w:jc w:val="center"/>
        <w:outlineLvl w:val="1"/>
      </w:pPr>
      <w:r>
        <w:t>3. Сведения о взаимосвязи со стратегическими приоритетами,</w:t>
      </w:r>
    </w:p>
    <w:p w:rsidR="00E82BA2" w:rsidRDefault="00E82BA2">
      <w:pPr>
        <w:pStyle w:val="ConsPlusTitle"/>
        <w:jc w:val="center"/>
      </w:pPr>
      <w:r>
        <w:t>целями и показателями государственных программ</w:t>
      </w:r>
    </w:p>
    <w:p w:rsidR="00E82BA2" w:rsidRDefault="00E82BA2">
      <w:pPr>
        <w:pStyle w:val="ConsPlusTitle"/>
        <w:jc w:val="center"/>
      </w:pPr>
      <w:r>
        <w:t>Российской Федерации</w:t>
      </w:r>
    </w:p>
    <w:p w:rsidR="00E82BA2" w:rsidRDefault="00E82BA2">
      <w:pPr>
        <w:pStyle w:val="ConsPlusNormal"/>
        <w:jc w:val="center"/>
      </w:pPr>
    </w:p>
    <w:p w:rsidR="00E82BA2" w:rsidRDefault="00E82BA2">
      <w:pPr>
        <w:pStyle w:val="ConsPlusNormal"/>
        <w:ind w:firstLine="540"/>
        <w:jc w:val="both"/>
      </w:pPr>
      <w:r>
        <w:t>Государственная программа направлена на достижение стратегических приоритетов государственных программ Российской Федерации "</w:t>
      </w:r>
      <w:hyperlink r:id="rId19">
        <w:r>
          <w:rPr>
            <w:color w:val="0000FF"/>
          </w:rPr>
          <w:t>Защита</w:t>
        </w:r>
      </w:hyperlink>
      <w:r>
        <w:t xml:space="preserve"> населения и территорий от чрезвычайных ситуаций, обеспечение пожарной безопасности и безопасности людей на водных объектах" (утверждена постановлением Правительства Российской Федерации от 15 апреля 2014 года N 300) и "</w:t>
      </w:r>
      <w:hyperlink r:id="rId20">
        <w:r>
          <w:rPr>
            <w:color w:val="0000FF"/>
          </w:rPr>
          <w:t>Обеспечение</w:t>
        </w:r>
      </w:hyperlink>
      <w:r>
        <w:t xml:space="preserve"> общественного порядка и противодействие преступности" (утверждена постановлением Правительства Российской Федерации от 15 апреля 2014 года N 345).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Приоритетными направлениями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lastRenderedPageBreak/>
        <w:t>развитие системы государственного управления и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Российской Федерации и в мире;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внедрение новых технологий обеспечения безопасности жизнедеятельности населения;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развитие системы обеспечения пожарной безопасности в целях профилактики пожаров, их тушения и проведения аварийно-спасательных работ;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поддержка и стимулирование фундаментальных и прикладных научных исследований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развитие спасательных технологий и спасательной техники.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Одним из стратегических национальных приоритетов государственной программы Российской Федерации "Обеспечение общественного порядка и противодействие преступности" является обеспечение государственной и общественной безопасности.</w:t>
      </w:r>
    </w:p>
    <w:p w:rsidR="00E82BA2" w:rsidRDefault="00E82BA2">
      <w:pPr>
        <w:pStyle w:val="ConsPlusNormal"/>
        <w:ind w:firstLine="540"/>
        <w:jc w:val="both"/>
      </w:pPr>
    </w:p>
    <w:p w:rsidR="00E82BA2" w:rsidRDefault="00E82BA2">
      <w:pPr>
        <w:pStyle w:val="ConsPlusTitle"/>
        <w:jc w:val="center"/>
        <w:outlineLvl w:val="1"/>
      </w:pPr>
      <w:r>
        <w:t>4. Цели государственной программы и способы их достижения</w:t>
      </w:r>
    </w:p>
    <w:p w:rsidR="00E82BA2" w:rsidRDefault="00E82BA2">
      <w:pPr>
        <w:pStyle w:val="ConsPlusNormal"/>
        <w:jc w:val="center"/>
      </w:pPr>
    </w:p>
    <w:p w:rsidR="00E82BA2" w:rsidRDefault="00E82BA2">
      <w:pPr>
        <w:pStyle w:val="ConsPlusNormal"/>
        <w:ind w:firstLine="540"/>
        <w:jc w:val="both"/>
      </w:pPr>
      <w:r>
        <w:t>Целью государственной программы является повышение уровня доверия населения к органам исполнительной власти Ленинградской области в сфере обеспечения общественной безопасности и правопорядка к концу 2030 года до 65 процентов.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Основными способами достижения цели государственной программы являются: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увеличение покрытия зон видеоконтроля на территории Ленинградской области, в том числе для распознавания государственных регистрационных знаков, ситуационной уличной аналитики, в целях предотвращения правонарушений и обеспечения антитеррористической защищенности на территории Ленинградской области;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увеличение мощностей центра обработки данных аппаратно-программного комплекса "Безопасный город" Ленинградской области;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обеспечение функционирования и развитие территориально распределенной автоматизированной информационно-управляющей системы "Система-112 Ленинградской области", обеспечивающей прием вызовов по единому номеру "112", их обработку, передачу обработанной информации, требующей реагирования, диспетчерским службам;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содействие подразделениям органов внутренних дел в выполнении задач по охране общественного порядка и обеспечению общественной безопасности;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обслуживание и ремонт сооружений, зданий, оснащение (переоснащение) вновь построенных объектов, а также существующих зданий поисково-спасательных станций специальной техникой, аварийно-спасательным оборудованием, средствами связи, снаряжением и инструментом;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приобретение средств материально-технического обеспечения в целях проведения мероприятий по обеспечению безопасности людей на водных объектах;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организация формирования резерва имущества гражданской обороны Ленинградской области, приобретение средств индивидуальной защиты, а также создание условий для содержания имущества гражданской обороны;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выполнение комплекса мер, направленных на реализацию внеплановых и неотложных </w:t>
      </w:r>
      <w:r>
        <w:lastRenderedPageBreak/>
        <w:t>мероприятий по предупреждению и ликвидации чрезвычайных ситуаций и последствий стихийных бедствий;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обслуживание, эксплуатация и ремонт сооружений (складских помещений и т.п.) гражданской обороны;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дальнейшее создание, хранение и восполнение резерва материальных ресурсов для ликвидации чрезвычайных ситуаций на территории Ленинградской области;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дальнейшее развитие и модернизация систем оповещения населения Ленинградской области об угрозе возникновения или о возникновении чрезвычайных ситуаций на территории Ленинградской области в целях увеличения зоны охвата системой оповещения и информирования;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обслуживание, эксплуатация и приобретение средств обеспечения технических систем управления гражданской обороны и систем оповещения населения;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дальнейшее укрепление материально-технической базы подразделений противопожарной службы Ленинградской области;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оснащение пожарной и вспомогательной автотехникой, пожарно-техническим и аварийно-спасательным оборудованием, снаряжением, средствами связи, учебно-тренировочными техническими средствами, мобильными сборно-разборными комплексами (зданиями), модернизация техники и оборудования, выполнение ремонтных работ в зданиях пожарных депо;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>выполнение комплекса мер, направленных на вовлечение граждан и организаций в обеспечение пожарной безопасности, поддержку гражданских инициатив;</w:t>
      </w:r>
    </w:p>
    <w:p w:rsidR="00E82BA2" w:rsidRDefault="00E82BA2">
      <w:pPr>
        <w:pStyle w:val="ConsPlusNormal"/>
        <w:spacing w:before="220"/>
        <w:ind w:firstLine="540"/>
        <w:jc w:val="both"/>
      </w:pPr>
      <w:r>
        <w:t xml:space="preserve">страхование работников противопожарной службы Ленинградской области в соответствии с областным </w:t>
      </w:r>
      <w:hyperlink r:id="rId21">
        <w:r>
          <w:rPr>
            <w:color w:val="0000FF"/>
          </w:rPr>
          <w:t>законом</w:t>
        </w:r>
      </w:hyperlink>
      <w:r>
        <w:t xml:space="preserve"> от 26 июля 2017 года N 52-оз "Об обязательном государственном личном страховании работников противопожарной службы Ленинградской области государственной противопожарной службы".</w:t>
      </w:r>
    </w:p>
    <w:p w:rsidR="00E82BA2" w:rsidRDefault="00E82BA2">
      <w:pPr>
        <w:pStyle w:val="ConsPlusNormal"/>
        <w:ind w:firstLine="540"/>
        <w:jc w:val="both"/>
      </w:pPr>
    </w:p>
    <w:p w:rsidR="00E82BA2" w:rsidRDefault="00E82BA2">
      <w:pPr>
        <w:pStyle w:val="ConsPlusNormal"/>
        <w:jc w:val="both"/>
      </w:pPr>
    </w:p>
    <w:p w:rsidR="00E82BA2" w:rsidRDefault="00E82B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080E" w:rsidRDefault="0078080E"/>
    <w:sectPr w:rsidR="0078080E" w:rsidSect="00A0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A2"/>
    <w:rsid w:val="0078080E"/>
    <w:rsid w:val="00E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2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2B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2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2B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" TargetMode="External"/><Relationship Id="rId13" Type="http://schemas.openxmlformats.org/officeDocument/2006/relationships/hyperlink" Target="https://login.consultant.ru/link/?req=doc&amp;base=LAW&amp;n=287639" TargetMode="External"/><Relationship Id="rId18" Type="http://schemas.openxmlformats.org/officeDocument/2006/relationships/hyperlink" Target="https://login.consultant.ru/link/?req=doc&amp;base=SPB&amp;n=221116&amp;dst=1012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188816" TargetMode="External"/><Relationship Id="rId7" Type="http://schemas.openxmlformats.org/officeDocument/2006/relationships/hyperlink" Target="https://login.consultant.ru/link/?req=doc&amp;base=LAW&amp;n=465775" TargetMode="External"/><Relationship Id="rId12" Type="http://schemas.openxmlformats.org/officeDocument/2006/relationships/hyperlink" Target="https://login.consultant.ru/link/?req=doc&amp;base=LAW&amp;n=209270" TargetMode="External"/><Relationship Id="rId17" Type="http://schemas.openxmlformats.org/officeDocument/2006/relationships/hyperlink" Target="https://login.consultant.ru/link/?req=doc&amp;base=LAW&amp;n=3220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54602" TargetMode="External"/><Relationship Id="rId20" Type="http://schemas.openxmlformats.org/officeDocument/2006/relationships/hyperlink" Target="https://login.consultant.ru/link/?req=doc&amp;base=LAW&amp;n=485336&amp;dst=279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5052&amp;dst=100010" TargetMode="External"/><Relationship Id="rId11" Type="http://schemas.openxmlformats.org/officeDocument/2006/relationships/hyperlink" Target="https://login.consultant.ru/link/?req=doc&amp;base=LAW&amp;n=335627" TargetMode="External"/><Relationship Id="rId5" Type="http://schemas.openxmlformats.org/officeDocument/2006/relationships/hyperlink" Target="https://login.consultant.ru/link/?req=doc&amp;base=SPB&amp;n=236766&amp;dst=100010" TargetMode="External"/><Relationship Id="rId15" Type="http://schemas.openxmlformats.org/officeDocument/2006/relationships/hyperlink" Target="https://login.consultant.ru/link/?req=doc&amp;base=LAW&amp;n=2868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271" TargetMode="External"/><Relationship Id="rId19" Type="http://schemas.openxmlformats.org/officeDocument/2006/relationships/hyperlink" Target="https://login.consultant.ru/link/?req=doc&amp;base=LAW&amp;n=396586&amp;dst=29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0324&amp;dst=100005" TargetMode="External"/><Relationship Id="rId14" Type="http://schemas.openxmlformats.org/officeDocument/2006/relationships/hyperlink" Target="https://login.consultant.ru/link/?req=doc&amp;base=LAW&amp;n=1377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20931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Гральник Виктория Владимировна</dc:creator>
  <cp:lastModifiedBy>Гральник Виктория Владимировна</cp:lastModifiedBy>
  <cp:revision>1</cp:revision>
  <dcterms:created xsi:type="dcterms:W3CDTF">2025-02-20T08:16:00Z</dcterms:created>
  <dcterms:modified xsi:type="dcterms:W3CDTF">2025-02-20T08:19:00Z</dcterms:modified>
</cp:coreProperties>
</file>